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1B96" w14:textId="77777777" w:rsidR="00006D9E" w:rsidRDefault="00006D9E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BD </w:t>
      </w:r>
      <w:proofErr w:type="spellStart"/>
      <w:r>
        <w:rPr>
          <w:rFonts w:ascii="Times" w:eastAsia="Times New Roman" w:hAnsi="Times" w:cs="Times New Roman"/>
          <w:sz w:val="20"/>
          <w:szCs w:val="20"/>
          <w:lang w:val="en-US"/>
        </w:rPr>
        <w:t>FACSAria</w:t>
      </w:r>
      <w:r w:rsidRPr="00006D9E">
        <w:rPr>
          <w:rFonts w:ascii="Times" w:eastAsia="Times New Roman" w:hAnsi="Times" w:cs="Times New Roman"/>
          <w:sz w:val="20"/>
          <w:szCs w:val="20"/>
          <w:vertAlign w:val="superscript"/>
          <w:lang w:val="en-US"/>
        </w:rPr>
        <w:t>TM</w:t>
      </w:r>
      <w:proofErr w:type="spellEnd"/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 Fusion</w:t>
      </w:r>
    </w:p>
    <w:p w14:paraId="68457B3E" w14:textId="443EFEFF" w:rsidR="005656DE" w:rsidRDefault="005656DE" w:rsidP="00491B0C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F4658F3" w14:textId="4C95E0ED" w:rsidR="002C5F70" w:rsidRPr="005656DE" w:rsidRDefault="002C5F70" w:rsidP="00491B0C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2C5F70">
        <w:rPr>
          <w:rFonts w:ascii="Times" w:eastAsia="Times New Roman" w:hAnsi="Times" w:cs="Times New Roman"/>
          <w:b/>
          <w:sz w:val="20"/>
          <w:szCs w:val="20"/>
          <w:lang w:val="en-US"/>
        </w:rPr>
        <w:t>Description</w:t>
      </w:r>
    </w:p>
    <w:p w14:paraId="11F0A138" w14:textId="764B0781" w:rsidR="00491B0C" w:rsidRDefault="005C5F52" w:rsidP="00491B0C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Fluorescence activated c</w:t>
      </w:r>
      <w:r w:rsidR="00006D9E">
        <w:rPr>
          <w:rFonts w:ascii="Times" w:eastAsia="Times New Roman" w:hAnsi="Times" w:cs="Times New Roman"/>
          <w:sz w:val="20"/>
          <w:szCs w:val="20"/>
          <w:lang w:val="en-US"/>
        </w:rPr>
        <w:t>ell sorter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 (FACS)</w:t>
      </w:r>
      <w:r w:rsidR="00006D9E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="00A05F08">
        <w:rPr>
          <w:rFonts w:ascii="Times" w:eastAsia="Times New Roman" w:hAnsi="Times" w:cs="Times New Roman"/>
          <w:sz w:val="20"/>
          <w:szCs w:val="20"/>
          <w:lang w:val="en-US"/>
        </w:rPr>
        <w:t xml:space="preserve">with a </w:t>
      </w:r>
      <w:r w:rsidR="00A05F08" w:rsidRPr="00A05F08">
        <w:rPr>
          <w:rFonts w:ascii="Times" w:eastAsia="Times New Roman" w:hAnsi="Times" w:cs="Times New Roman"/>
          <w:sz w:val="20"/>
          <w:szCs w:val="20"/>
          <w:lang w:val="en-US"/>
        </w:rPr>
        <w:t>quartz cu</w:t>
      </w:r>
      <w:r w:rsidR="00491B0C">
        <w:rPr>
          <w:rFonts w:ascii="Times" w:eastAsia="Times New Roman" w:hAnsi="Times" w:cs="Times New Roman"/>
          <w:sz w:val="20"/>
          <w:szCs w:val="20"/>
          <w:lang w:val="en-US"/>
        </w:rPr>
        <w:t xml:space="preserve">vette flow cell that is in </w:t>
      </w:r>
      <w:r w:rsidR="00A05F08" w:rsidRPr="00A05F08">
        <w:rPr>
          <w:rFonts w:ascii="Times" w:eastAsia="Times New Roman" w:hAnsi="Times" w:cs="Times New Roman"/>
          <w:sz w:val="20"/>
          <w:szCs w:val="20"/>
          <w:lang w:val="en-US"/>
        </w:rPr>
        <w:t xml:space="preserve">fixed alignment with </w:t>
      </w:r>
      <w:r w:rsidR="008D038D">
        <w:rPr>
          <w:rFonts w:ascii="Times" w:eastAsia="Times New Roman" w:hAnsi="Times" w:cs="Times New Roman"/>
          <w:sz w:val="20"/>
          <w:szCs w:val="20"/>
          <w:lang w:val="en-US"/>
        </w:rPr>
        <w:t>the laser, and is gel coupled to</w:t>
      </w:r>
      <w:r w:rsidR="00A05F08" w:rsidRPr="00A05F08">
        <w:rPr>
          <w:rFonts w:ascii="Times" w:eastAsia="Times New Roman" w:hAnsi="Times" w:cs="Times New Roman"/>
          <w:sz w:val="20"/>
          <w:szCs w:val="20"/>
          <w:lang w:val="en-US"/>
        </w:rPr>
        <w:t xml:space="preserve"> the collection optics. </w:t>
      </w:r>
      <w:r w:rsidR="00491B0C">
        <w:rPr>
          <w:rFonts w:ascii="Times" w:eastAsia="Times New Roman" w:hAnsi="Times" w:cs="Times New Roman"/>
          <w:sz w:val="20"/>
          <w:szCs w:val="20"/>
          <w:lang w:val="en-US"/>
        </w:rPr>
        <w:t xml:space="preserve">BD </w:t>
      </w:r>
      <w:proofErr w:type="spellStart"/>
      <w:r w:rsidR="00A05F08">
        <w:rPr>
          <w:rFonts w:ascii="Times" w:eastAsia="Times New Roman" w:hAnsi="Times" w:cs="Times New Roman"/>
          <w:sz w:val="20"/>
          <w:szCs w:val="20"/>
          <w:lang w:val="en-US"/>
        </w:rPr>
        <w:t>FACSAria</w:t>
      </w:r>
      <w:r w:rsidR="00A05F08" w:rsidRPr="00006D9E">
        <w:rPr>
          <w:rFonts w:ascii="Times" w:eastAsia="Times New Roman" w:hAnsi="Times" w:cs="Times New Roman"/>
          <w:sz w:val="20"/>
          <w:szCs w:val="20"/>
          <w:vertAlign w:val="superscript"/>
          <w:lang w:val="en-US"/>
        </w:rPr>
        <w:t>TM</w:t>
      </w:r>
      <w:proofErr w:type="spellEnd"/>
      <w:r w:rsidR="00A05F08">
        <w:rPr>
          <w:rFonts w:ascii="Times" w:eastAsia="Times New Roman" w:hAnsi="Times" w:cs="Times New Roman"/>
          <w:sz w:val="20"/>
          <w:szCs w:val="20"/>
          <w:lang w:val="en-US"/>
        </w:rPr>
        <w:t xml:space="preserve"> Fusion is equipped with </w:t>
      </w:r>
      <w:r w:rsidR="00A05F08" w:rsidRPr="00006D9E">
        <w:rPr>
          <w:rFonts w:ascii="Times" w:eastAsia="Times New Roman" w:hAnsi="Times" w:cs="Times New Roman"/>
          <w:sz w:val="20"/>
          <w:szCs w:val="20"/>
          <w:lang w:val="en-US"/>
        </w:rPr>
        <w:t>5</w:t>
      </w:r>
      <w:r w:rsidR="00641F11">
        <w:rPr>
          <w:rFonts w:ascii="Times" w:eastAsia="Times New Roman" w:hAnsi="Times" w:cs="Times New Roman"/>
          <w:sz w:val="20"/>
          <w:szCs w:val="20"/>
          <w:lang w:val="en-US"/>
        </w:rPr>
        <w:t xml:space="preserve"> spatially separated</w:t>
      </w:r>
      <w:r w:rsidR="00A05F08" w:rsidRPr="00006D9E">
        <w:rPr>
          <w:rFonts w:ascii="Times" w:eastAsia="Times New Roman" w:hAnsi="Times" w:cs="Times New Roman"/>
          <w:sz w:val="20"/>
          <w:szCs w:val="20"/>
          <w:lang w:val="en-US"/>
        </w:rPr>
        <w:t xml:space="preserve"> lasers, 18 fluorescent detectors and 2 light scatter detectors</w:t>
      </w:r>
      <w:r w:rsidR="00A05F08">
        <w:rPr>
          <w:rFonts w:ascii="Times" w:eastAsia="Times New Roman" w:hAnsi="Times" w:cs="Times New Roman"/>
          <w:sz w:val="20"/>
          <w:szCs w:val="20"/>
          <w:lang w:val="en-US"/>
        </w:rPr>
        <w:t xml:space="preserve"> for </w:t>
      </w:r>
      <w:r w:rsidR="00641F11">
        <w:rPr>
          <w:rFonts w:ascii="Times" w:eastAsia="Times New Roman" w:hAnsi="Times" w:cs="Times New Roman"/>
          <w:sz w:val="20"/>
          <w:szCs w:val="20"/>
          <w:lang w:val="en-US"/>
        </w:rPr>
        <w:t xml:space="preserve">fast </w:t>
      </w:r>
      <w:proofErr w:type="spellStart"/>
      <w:r w:rsidR="00A05F08">
        <w:rPr>
          <w:rFonts w:ascii="Times" w:eastAsia="Times New Roman" w:hAnsi="Times" w:cs="Times New Roman"/>
          <w:sz w:val="20"/>
          <w:szCs w:val="20"/>
          <w:lang w:val="en-US"/>
        </w:rPr>
        <w:t>multicolour</w:t>
      </w:r>
      <w:proofErr w:type="spellEnd"/>
      <w:r w:rsidR="00A05F08">
        <w:rPr>
          <w:rFonts w:ascii="Times" w:eastAsia="Times New Roman" w:hAnsi="Times" w:cs="Times New Roman"/>
          <w:sz w:val="20"/>
          <w:szCs w:val="20"/>
          <w:lang w:val="en-US"/>
        </w:rPr>
        <w:t xml:space="preserve"> analysis and </w:t>
      </w:r>
      <w:r w:rsidR="00425946">
        <w:rPr>
          <w:rFonts w:ascii="Times" w:eastAsia="Times New Roman" w:hAnsi="Times" w:cs="Times New Roman"/>
          <w:sz w:val="20"/>
          <w:szCs w:val="20"/>
          <w:lang w:val="en-US"/>
        </w:rPr>
        <w:t xml:space="preserve">cell </w:t>
      </w:r>
      <w:r w:rsidR="00A05F08">
        <w:rPr>
          <w:rFonts w:ascii="Times" w:eastAsia="Times New Roman" w:hAnsi="Times" w:cs="Times New Roman"/>
          <w:sz w:val="20"/>
          <w:szCs w:val="20"/>
          <w:lang w:val="en-US"/>
        </w:rPr>
        <w:t>sorting</w:t>
      </w:r>
      <w:r w:rsidR="00034563">
        <w:rPr>
          <w:rFonts w:ascii="Times" w:eastAsia="Times New Roman" w:hAnsi="Times" w:cs="Times New Roman"/>
          <w:sz w:val="20"/>
          <w:szCs w:val="20"/>
          <w:lang w:val="en-US"/>
        </w:rPr>
        <w:t xml:space="preserve"> with </w:t>
      </w:r>
      <w:r w:rsidR="00034563" w:rsidRPr="005D1ADC">
        <w:rPr>
          <w:rFonts w:ascii="Times" w:eastAsia="Times New Roman" w:hAnsi="Times" w:cs="Times New Roman"/>
          <w:sz w:val="20"/>
          <w:szCs w:val="20"/>
          <w:lang w:val="en-US"/>
        </w:rPr>
        <w:t>accurate event data acquisition at up to 70,000 events per second</w:t>
      </w:r>
      <w:r w:rsidR="00425946">
        <w:rPr>
          <w:rFonts w:ascii="Times" w:eastAsia="Times New Roman" w:hAnsi="Times" w:cs="Times New Roman"/>
          <w:sz w:val="20"/>
          <w:szCs w:val="20"/>
          <w:lang w:val="en-US"/>
        </w:rPr>
        <w:t>.</w:t>
      </w:r>
      <w:r w:rsidR="00491B0C">
        <w:rPr>
          <w:rFonts w:ascii="Times" w:eastAsia="Times New Roman" w:hAnsi="Times" w:cs="Times New Roman"/>
          <w:sz w:val="20"/>
          <w:szCs w:val="20"/>
          <w:lang w:val="en-US"/>
        </w:rPr>
        <w:t xml:space="preserve"> BD </w:t>
      </w:r>
      <w:proofErr w:type="spellStart"/>
      <w:r w:rsidR="00491B0C">
        <w:rPr>
          <w:rFonts w:ascii="Times" w:eastAsia="Times New Roman" w:hAnsi="Times" w:cs="Times New Roman"/>
          <w:sz w:val="20"/>
          <w:szCs w:val="20"/>
          <w:lang w:val="en-US"/>
        </w:rPr>
        <w:t>FACSAria</w:t>
      </w:r>
      <w:r w:rsidR="00491B0C" w:rsidRPr="00006D9E">
        <w:rPr>
          <w:rFonts w:ascii="Times" w:eastAsia="Times New Roman" w:hAnsi="Times" w:cs="Times New Roman"/>
          <w:sz w:val="20"/>
          <w:szCs w:val="20"/>
          <w:vertAlign w:val="superscript"/>
          <w:lang w:val="en-US"/>
        </w:rPr>
        <w:t>TM</w:t>
      </w:r>
      <w:proofErr w:type="spellEnd"/>
      <w:r w:rsidR="00491B0C">
        <w:rPr>
          <w:rFonts w:ascii="Times" w:eastAsia="Times New Roman" w:hAnsi="Times" w:cs="Times New Roman"/>
          <w:sz w:val="20"/>
          <w:szCs w:val="20"/>
          <w:lang w:val="en-US"/>
        </w:rPr>
        <w:t xml:space="preserve"> Fusion is placed in the biosafety </w:t>
      </w:r>
      <w:r w:rsidR="00491B0C" w:rsidRPr="00491B0C">
        <w:rPr>
          <w:rFonts w:ascii="Times" w:eastAsia="Times New Roman" w:hAnsi="Times" w:cs="Times New Roman"/>
          <w:sz w:val="20"/>
          <w:szCs w:val="20"/>
          <w:lang w:val="en-US"/>
        </w:rPr>
        <w:t>cabinet (BSC)</w:t>
      </w:r>
      <w:r w:rsidR="00491B0C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="00491B0C" w:rsidRPr="00491B0C">
        <w:rPr>
          <w:rFonts w:ascii="Times" w:eastAsia="Times New Roman" w:hAnsi="Times" w:cs="Times New Roman"/>
          <w:sz w:val="20"/>
          <w:szCs w:val="20"/>
          <w:lang w:val="en-US"/>
        </w:rPr>
        <w:t>Class II Type A2</w:t>
      </w:r>
      <w:r w:rsidR="00491B0C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r w:rsidR="00491B0C" w:rsidRPr="00491B0C">
        <w:rPr>
          <w:rFonts w:ascii="Times" w:eastAsia="Times New Roman" w:hAnsi="Times" w:cs="Times New Roman"/>
          <w:sz w:val="20"/>
          <w:szCs w:val="20"/>
          <w:lang w:val="en-US"/>
        </w:rPr>
        <w:t>designed in collaboration with The Baker Company</w:t>
      </w:r>
      <w:r w:rsidR="00491B0C">
        <w:rPr>
          <w:rFonts w:ascii="Times" w:eastAsia="Times New Roman" w:hAnsi="Times" w:cs="Times New Roman"/>
          <w:sz w:val="20"/>
          <w:szCs w:val="20"/>
          <w:lang w:val="en-US"/>
        </w:rPr>
        <w:t xml:space="preserve">, a </w:t>
      </w:r>
      <w:r w:rsidR="00491B0C" w:rsidRPr="00491B0C">
        <w:rPr>
          <w:rFonts w:ascii="Times" w:eastAsia="Times New Roman" w:hAnsi="Times" w:cs="Times New Roman"/>
          <w:sz w:val="20"/>
          <w:szCs w:val="20"/>
          <w:lang w:val="en-US"/>
        </w:rPr>
        <w:t>leader in biosafety solutions.</w:t>
      </w:r>
    </w:p>
    <w:p w14:paraId="70611E92" w14:textId="77777777" w:rsidR="00491B0C" w:rsidRDefault="00491B0C" w:rsidP="00491B0C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1DF1F6A" w14:textId="77777777" w:rsidR="00BD4F71" w:rsidRDefault="002C5F70" w:rsidP="00BD4F71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2C5F70">
        <w:rPr>
          <w:rFonts w:ascii="Times" w:eastAsia="Times New Roman" w:hAnsi="Times" w:cs="Times New Roman"/>
          <w:b/>
          <w:sz w:val="20"/>
          <w:szCs w:val="20"/>
          <w:lang w:val="en-US"/>
        </w:rPr>
        <w:t>Applications</w:t>
      </w:r>
    </w:p>
    <w:p w14:paraId="1AE6EC64" w14:textId="4BB76A3E" w:rsidR="00BD4F71" w:rsidRDefault="00BD4F71" w:rsidP="00BD4F71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Flow cytometry analysis and </w:t>
      </w:r>
      <w:bookmarkStart w:id="0" w:name="_GoBack"/>
      <w:r>
        <w:rPr>
          <w:rFonts w:ascii="Times" w:eastAsia="Times New Roman" w:hAnsi="Times" w:cs="Times New Roman"/>
          <w:sz w:val="20"/>
          <w:szCs w:val="20"/>
          <w:lang w:val="en-US"/>
        </w:rPr>
        <w:t>fluorescence activated c</w:t>
      </w:r>
      <w:r w:rsidR="00381465">
        <w:rPr>
          <w:rFonts w:ascii="Times" w:eastAsia="Times New Roman" w:hAnsi="Times" w:cs="Times New Roman"/>
          <w:sz w:val="20"/>
          <w:szCs w:val="20"/>
          <w:lang w:val="en-US"/>
        </w:rPr>
        <w:t>ell sorting</w:t>
      </w:r>
      <w:bookmarkEnd w:id="0"/>
      <w:r>
        <w:rPr>
          <w:rFonts w:ascii="Times" w:eastAsia="Times New Roman" w:hAnsi="Times" w:cs="Times New Roman"/>
          <w:sz w:val="20"/>
          <w:szCs w:val="20"/>
          <w:lang w:val="en-US"/>
        </w:rPr>
        <w:t>.</w:t>
      </w:r>
    </w:p>
    <w:p w14:paraId="5C12C991" w14:textId="77777777" w:rsidR="00BD4F71" w:rsidRDefault="00BD4F71" w:rsidP="00BD4F71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78EB954" w14:textId="62A1776E" w:rsidR="00BB163F" w:rsidRDefault="00BB163F" w:rsidP="00BD4F71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BB163F">
        <w:rPr>
          <w:rFonts w:ascii="Times" w:eastAsia="Times New Roman" w:hAnsi="Times" w:cs="Times New Roman"/>
          <w:b/>
          <w:sz w:val="20"/>
          <w:szCs w:val="20"/>
          <w:lang w:val="en-US"/>
        </w:rPr>
        <w:t>Excitation Optics</w:t>
      </w:r>
    </w:p>
    <w:p w14:paraId="61D7AD3C" w14:textId="1083010E" w:rsidR="00BB163F" w:rsidRDefault="00BB163F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Fixed optical alignment of all Class </w:t>
      </w:r>
      <w:proofErr w:type="spellStart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>IIIb</w:t>
      </w:r>
      <w:proofErr w:type="spellEnd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lasers with the cuvette flow cell. All lasers are solid state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 and </w:t>
      </w:r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>elliptical</w:t>
      </w:r>
      <w:r>
        <w:rPr>
          <w:rFonts w:ascii="Times" w:eastAsia="Times New Roman" w:hAnsi="Times" w:cs="Times New Roman"/>
          <w:sz w:val="20"/>
          <w:szCs w:val="20"/>
          <w:lang w:val="en-US"/>
        </w:rPr>
        <w:t>:</w:t>
      </w:r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5197FD2B" w14:textId="77777777" w:rsidR="00BB163F" w:rsidRDefault="00BB163F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Beam height: 9 ±3 µm </w:t>
      </w:r>
    </w:p>
    <w:p w14:paraId="58F0F290" w14:textId="77777777" w:rsidR="00BB163F" w:rsidRDefault="00BB163F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Beam width: 65 ±7 µm </w:t>
      </w:r>
    </w:p>
    <w:p w14:paraId="3CB1DC54" w14:textId="77777777" w:rsidR="00BB163F" w:rsidRDefault="00BB163F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E5E5E4E" w14:textId="77777777" w:rsidR="00BB163F" w:rsidRPr="008B23A7" w:rsidRDefault="00BB163F" w:rsidP="00BB163F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8B23A7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Power Out of the Laser Head</w:t>
      </w:r>
    </w:p>
    <w:p w14:paraId="2A26007B" w14:textId="21591546" w:rsidR="00BB163F" w:rsidRDefault="00BB163F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35</w:t>
      </w:r>
      <w:r w:rsidR="00EC7D35">
        <w:rPr>
          <w:rFonts w:ascii="Times" w:eastAsia="Times New Roman" w:hAnsi="Times" w:cs="Times New Roman"/>
          <w:sz w:val="20"/>
          <w:szCs w:val="20"/>
          <w:lang w:val="en-US"/>
        </w:rPr>
        <w:t>5 nm: &gt;20</w:t>
      </w:r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>mW</w:t>
      </w:r>
      <w:proofErr w:type="spellEnd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3FBC3196" w14:textId="77777777" w:rsidR="00BB163F" w:rsidRDefault="00BB163F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405 nm: &gt;85 </w:t>
      </w:r>
      <w:proofErr w:type="spellStart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>mW</w:t>
      </w:r>
      <w:proofErr w:type="spellEnd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2F61F866" w14:textId="77777777" w:rsidR="00BB163F" w:rsidRDefault="00BB163F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488 nm: &gt;50 </w:t>
      </w:r>
      <w:proofErr w:type="spellStart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>mW</w:t>
      </w:r>
      <w:proofErr w:type="spellEnd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31409752" w14:textId="77777777" w:rsidR="00BB163F" w:rsidRDefault="00BB163F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561 nm: &gt;50 </w:t>
      </w:r>
      <w:proofErr w:type="spellStart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>mW</w:t>
      </w:r>
      <w:proofErr w:type="spellEnd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2E347659" w14:textId="15F9FFC1" w:rsidR="00BB163F" w:rsidRPr="00BB163F" w:rsidRDefault="00BB163F" w:rsidP="00BB163F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 xml:space="preserve">640 nm: &gt;100 </w:t>
      </w:r>
      <w:proofErr w:type="spellStart"/>
      <w:r w:rsidRPr="00BB163F">
        <w:rPr>
          <w:rFonts w:ascii="Times" w:eastAsia="Times New Roman" w:hAnsi="Times" w:cs="Times New Roman"/>
          <w:sz w:val="20"/>
          <w:szCs w:val="20"/>
          <w:lang w:val="en-US"/>
        </w:rPr>
        <w:t>mW</w:t>
      </w:r>
      <w:proofErr w:type="spellEnd"/>
    </w:p>
    <w:p w14:paraId="676FA52E" w14:textId="77777777" w:rsidR="00BB163F" w:rsidRPr="00BB163F" w:rsidRDefault="00BB163F" w:rsidP="00BD4F71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</w:p>
    <w:p w14:paraId="184ACB91" w14:textId="77777777" w:rsidR="005656DE" w:rsidRPr="005656DE" w:rsidRDefault="005656DE" w:rsidP="005656DE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5656DE">
        <w:rPr>
          <w:rFonts w:ascii="Times" w:eastAsia="Times New Roman" w:hAnsi="Times" w:cs="Times New Roman"/>
          <w:b/>
          <w:sz w:val="20"/>
          <w:szCs w:val="20"/>
          <w:lang w:val="en-US"/>
        </w:rPr>
        <w:t xml:space="preserve">Emission Optics </w:t>
      </w:r>
    </w:p>
    <w:p w14:paraId="7EA32055" w14:textId="77777777" w:rsidR="005656DE" w:rsidRDefault="005656DE" w:rsidP="005656DE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8B23A7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Forward Scatter Detector: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 p</w:t>
      </w:r>
      <w:r w:rsidRPr="005656DE">
        <w:rPr>
          <w:rFonts w:ascii="Times" w:eastAsia="Times New Roman" w:hAnsi="Times" w:cs="Times New Roman"/>
          <w:sz w:val="20"/>
          <w:szCs w:val="20"/>
          <w:lang w:val="en-US"/>
        </w:rPr>
        <w:t>hotodiode with 488/10 bandpass filter for the 488-nm laser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</w:p>
    <w:p w14:paraId="32CFC197" w14:textId="77777777" w:rsidR="005656DE" w:rsidRDefault="005656DE" w:rsidP="005656DE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8B23A7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Side Scatter Detector: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  <w:lang w:val="en-US"/>
        </w:rPr>
        <w:t>p</w:t>
      </w:r>
      <w:r w:rsidRPr="005656DE">
        <w:rPr>
          <w:rFonts w:ascii="Times" w:eastAsia="Times New Roman" w:hAnsi="Times" w:cs="Times New Roman"/>
          <w:sz w:val="20"/>
          <w:szCs w:val="20"/>
          <w:lang w:val="en-US"/>
        </w:rPr>
        <w:t>hotomultipler</w:t>
      </w:r>
      <w:proofErr w:type="spellEnd"/>
      <w:r w:rsidRPr="005656DE">
        <w:rPr>
          <w:rFonts w:ascii="Times" w:eastAsia="Times New Roman" w:hAnsi="Times" w:cs="Times New Roman"/>
          <w:sz w:val="20"/>
          <w:szCs w:val="20"/>
          <w:lang w:val="en-US"/>
        </w:rPr>
        <w:t xml:space="preserve"> with a 488/10 bandpass filter for the 488-nm laser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. </w:t>
      </w:r>
    </w:p>
    <w:p w14:paraId="1968C02F" w14:textId="040C59FE" w:rsidR="00BB163F" w:rsidRPr="008B23A7" w:rsidRDefault="005656DE" w:rsidP="00BD4F71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8B23A7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Fluorescence Detectors and Filters:</w:t>
      </w:r>
    </w:p>
    <w:p w14:paraId="17FB5122" w14:textId="19D8E588" w:rsidR="00BB163F" w:rsidRDefault="00BB163F" w:rsidP="001D539E">
      <w:pPr>
        <w:ind w:left="-142"/>
        <w:rPr>
          <w:rFonts w:ascii="Times" w:eastAsia="Times New Roman" w:hAnsi="Times" w:cs="Times New Roman"/>
          <w:b/>
          <w:sz w:val="20"/>
          <w:szCs w:val="20"/>
          <w:lang w:val="en-US"/>
        </w:rPr>
      </w:pP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en-US"/>
        </w:rPr>
        <w:drawing>
          <wp:inline distT="0" distB="0" distL="0" distR="0" wp14:anchorId="7E6AE784" wp14:editId="532D185C">
            <wp:extent cx="4754668" cy="28990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86" cy="28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1349F" w14:textId="5F92DB35" w:rsidR="00DE4853" w:rsidRDefault="00DE4853" w:rsidP="00DE4853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>
        <w:rPr>
          <w:rFonts w:ascii="Times" w:eastAsia="Times New Roman" w:hAnsi="Times" w:cs="Times New Roman"/>
          <w:b/>
          <w:sz w:val="20"/>
          <w:szCs w:val="20"/>
          <w:lang w:val="en-US"/>
        </w:rPr>
        <w:t>Fluidics</w:t>
      </w:r>
    </w:p>
    <w:p w14:paraId="17CE1F1D" w14:textId="77777777" w:rsidR="00DE4853" w:rsidRDefault="00DE4853" w:rsidP="00DE4853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DE4853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Sheath pressure</w:t>
      </w:r>
      <w:r w:rsidRPr="00DE4853">
        <w:rPr>
          <w:rFonts w:ascii="Times" w:eastAsia="Times New Roman" w:hAnsi="Times" w:cs="Times New Roman"/>
          <w:sz w:val="20"/>
          <w:szCs w:val="20"/>
          <w:lang w:val="en-US"/>
        </w:rPr>
        <w:t xml:space="preserve"> is adjustable from 5 to 75 psi. </w:t>
      </w:r>
    </w:p>
    <w:p w14:paraId="489B4A91" w14:textId="04A9EDF5" w:rsidR="00DE4853" w:rsidRDefault="00DE4853" w:rsidP="00DE4853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DE4853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Sample Flow Rates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 a</w:t>
      </w:r>
      <w:r w:rsidRPr="00DE4853">
        <w:rPr>
          <w:rFonts w:ascii="Times" w:eastAsia="Times New Roman" w:hAnsi="Times" w:cs="Times New Roman"/>
          <w:sz w:val="20"/>
          <w:szCs w:val="20"/>
          <w:lang w:val="en-US"/>
        </w:rPr>
        <w:t>djustable dy</w:t>
      </w:r>
      <w:r w:rsidR="000A4AB2">
        <w:rPr>
          <w:rFonts w:ascii="Times" w:eastAsia="Times New Roman" w:hAnsi="Times" w:cs="Times New Roman"/>
          <w:sz w:val="20"/>
          <w:szCs w:val="20"/>
          <w:lang w:val="en-US"/>
        </w:rPr>
        <w:t>namic range</w:t>
      </w:r>
      <w:r>
        <w:rPr>
          <w:rFonts w:ascii="Times" w:eastAsia="Times New Roman" w:hAnsi="Times" w:cs="Times New Roman"/>
          <w:sz w:val="20"/>
          <w:szCs w:val="20"/>
          <w:lang w:val="en-US"/>
        </w:rPr>
        <w:t>.</w:t>
      </w:r>
    </w:p>
    <w:p w14:paraId="21626581" w14:textId="3B88232B" w:rsidR="00DE4853" w:rsidRDefault="00DE4853" w:rsidP="00DE4853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DE4853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Nozzles </w:t>
      </w:r>
      <w:r w:rsidRPr="00DE4853">
        <w:rPr>
          <w:rFonts w:ascii="Times" w:eastAsia="Times New Roman" w:hAnsi="Times" w:cs="Times New Roman"/>
          <w:sz w:val="20"/>
          <w:szCs w:val="20"/>
          <w:lang w:val="en-US"/>
        </w:rPr>
        <w:t xml:space="preserve">are </w:t>
      </w:r>
      <w:r w:rsidR="000A4AB2">
        <w:rPr>
          <w:rFonts w:ascii="Times" w:eastAsia="Times New Roman" w:hAnsi="Times" w:cs="Times New Roman"/>
          <w:sz w:val="20"/>
          <w:szCs w:val="20"/>
          <w:lang w:val="en-US"/>
        </w:rPr>
        <w:t>removable and can be sonicated; available in 3 sizes: 70, 85 and 100</w:t>
      </w:r>
      <w:r w:rsidR="000A4AB2" w:rsidRPr="00DE4853">
        <w:rPr>
          <w:rFonts w:ascii="Times" w:eastAsia="Times New Roman" w:hAnsi="Times" w:cs="Times New Roman"/>
          <w:sz w:val="20"/>
          <w:szCs w:val="20"/>
          <w:lang w:val="en-US"/>
        </w:rPr>
        <w:t>-µm</w:t>
      </w:r>
    </w:p>
    <w:p w14:paraId="1D44E59E" w14:textId="178A5347" w:rsidR="000A4AB2" w:rsidRPr="00E868F3" w:rsidRDefault="000A4AB2" w:rsidP="00D377A2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Temperature control </w:t>
      </w:r>
      <w:r w:rsidRPr="00D377A2">
        <w:rPr>
          <w:rFonts w:ascii="Times" w:eastAsia="Times New Roman" w:hAnsi="Times" w:cs="Times New Roman"/>
          <w:sz w:val="20"/>
          <w:szCs w:val="20"/>
          <w:lang w:val="en-US"/>
        </w:rPr>
        <w:t xml:space="preserve">of </w:t>
      </w:r>
      <w:r w:rsidR="00D377A2">
        <w:rPr>
          <w:rFonts w:ascii="Times" w:eastAsia="Times New Roman" w:hAnsi="Times" w:cs="Times New Roman"/>
          <w:sz w:val="20"/>
          <w:szCs w:val="20"/>
          <w:lang w:val="en-US"/>
        </w:rPr>
        <w:t>s</w:t>
      </w:r>
      <w:r w:rsidR="00D377A2" w:rsidRPr="00D377A2">
        <w:rPr>
          <w:rFonts w:ascii="Times" w:eastAsia="Times New Roman" w:hAnsi="Times" w:cs="Times New Roman"/>
          <w:sz w:val="20"/>
          <w:szCs w:val="20"/>
          <w:lang w:val="en-US"/>
        </w:rPr>
        <w:t>ample input: 4ºC, 20ºC, 37ºC, and 42ºC (adjusted in the software)</w:t>
      </w:r>
      <w:r w:rsidR="00D377A2">
        <w:rPr>
          <w:rFonts w:ascii="Times" w:eastAsia="Times New Roman" w:hAnsi="Times" w:cs="Times New Roman"/>
          <w:sz w:val="20"/>
          <w:szCs w:val="20"/>
          <w:lang w:val="en-US"/>
        </w:rPr>
        <w:t>; s</w:t>
      </w:r>
      <w:r w:rsidR="00D377A2" w:rsidRPr="00D377A2">
        <w:rPr>
          <w:rFonts w:ascii="Times" w:eastAsia="Times New Roman" w:hAnsi="Times" w:cs="Times New Roman"/>
          <w:sz w:val="20"/>
          <w:szCs w:val="20"/>
          <w:lang w:val="en-US"/>
        </w:rPr>
        <w:t>ample outp</w:t>
      </w:r>
      <w:r w:rsidR="00D377A2">
        <w:rPr>
          <w:rFonts w:ascii="Times" w:eastAsia="Times New Roman" w:hAnsi="Times" w:cs="Times New Roman"/>
          <w:sz w:val="20"/>
          <w:szCs w:val="20"/>
          <w:lang w:val="en-US"/>
        </w:rPr>
        <w:t xml:space="preserve">ut: </w:t>
      </w:r>
      <w:r w:rsidRPr="00E868F3">
        <w:rPr>
          <w:rFonts w:ascii="Times" w:eastAsia="Times New Roman" w:hAnsi="Times" w:cs="Times New Roman"/>
          <w:sz w:val="20"/>
          <w:szCs w:val="20"/>
          <w:lang w:val="en-US"/>
        </w:rPr>
        <w:t>from +5</w:t>
      </w:r>
      <w:r w:rsidR="00E868F3" w:rsidRPr="00E868F3">
        <w:rPr>
          <w:rFonts w:ascii="Times" w:eastAsia="Times New Roman" w:hAnsi="Times" w:cs="Times New Roman"/>
          <w:sz w:val="20"/>
          <w:szCs w:val="20"/>
          <w:lang w:val="en-US"/>
        </w:rPr>
        <w:t>°</w:t>
      </w:r>
      <w:r w:rsidRPr="00E868F3">
        <w:rPr>
          <w:rFonts w:ascii="Times" w:eastAsia="Times New Roman" w:hAnsi="Times" w:cs="Times New Roman"/>
          <w:sz w:val="20"/>
          <w:szCs w:val="20"/>
          <w:lang w:val="en-US"/>
        </w:rPr>
        <w:t>C to +42</w:t>
      </w:r>
      <w:r w:rsidR="00E868F3" w:rsidRPr="00E868F3">
        <w:rPr>
          <w:rFonts w:ascii="Times" w:eastAsia="Times New Roman" w:hAnsi="Times" w:cs="Times New Roman"/>
          <w:sz w:val="20"/>
          <w:szCs w:val="20"/>
          <w:lang w:val="en-US"/>
        </w:rPr>
        <w:t>°</w:t>
      </w:r>
      <w:r w:rsidRPr="00E868F3">
        <w:rPr>
          <w:rFonts w:ascii="Times" w:eastAsia="Times New Roman" w:hAnsi="Times" w:cs="Times New Roman"/>
          <w:sz w:val="20"/>
          <w:szCs w:val="20"/>
          <w:lang w:val="en-US"/>
        </w:rPr>
        <w:t>C</w:t>
      </w:r>
    </w:p>
    <w:p w14:paraId="4ECFA47E" w14:textId="77777777" w:rsidR="00FA0BA6" w:rsidRDefault="000A4AB2" w:rsidP="00FA0BA6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Collection devices</w:t>
      </w:r>
      <w:r w:rsidR="00E868F3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:</w:t>
      </w:r>
      <w:r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 </w:t>
      </w:r>
      <w:r w:rsidR="00117138">
        <w:rPr>
          <w:rFonts w:ascii="Times" w:eastAsia="Times New Roman" w:hAnsi="Times" w:cs="Times New Roman"/>
          <w:sz w:val="20"/>
          <w:szCs w:val="20"/>
          <w:lang w:val="en-US"/>
        </w:rPr>
        <w:t xml:space="preserve">15ml- and </w:t>
      </w:r>
      <w:r w:rsidR="00E868F3" w:rsidRPr="00E868F3">
        <w:rPr>
          <w:rFonts w:ascii="Times" w:eastAsia="Times New Roman" w:hAnsi="Times" w:cs="Times New Roman"/>
          <w:sz w:val="20"/>
          <w:szCs w:val="20"/>
          <w:lang w:val="en-US"/>
        </w:rPr>
        <w:t xml:space="preserve">5ml-tubes, </w:t>
      </w:r>
      <w:proofErr w:type="spellStart"/>
      <w:r w:rsidR="00E868F3" w:rsidRPr="00E868F3">
        <w:rPr>
          <w:rFonts w:ascii="Times" w:eastAsia="Times New Roman" w:hAnsi="Times" w:cs="Times New Roman"/>
          <w:sz w:val="20"/>
          <w:szCs w:val="20"/>
          <w:lang w:val="en-US"/>
        </w:rPr>
        <w:t>eppendorfs</w:t>
      </w:r>
      <w:proofErr w:type="spellEnd"/>
      <w:r w:rsidR="00E868F3" w:rsidRPr="00E868F3">
        <w:rPr>
          <w:rFonts w:ascii="Times" w:eastAsia="Times New Roman" w:hAnsi="Times" w:cs="Times New Roman"/>
          <w:sz w:val="20"/>
          <w:szCs w:val="20"/>
          <w:lang w:val="en-US"/>
        </w:rPr>
        <w:t>,</w:t>
      </w:r>
      <w:r w:rsidR="00E868F3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 </w:t>
      </w:r>
      <w:r w:rsidR="00117138">
        <w:rPr>
          <w:rFonts w:ascii="Times" w:eastAsia="Times New Roman" w:hAnsi="Times" w:cs="Times New Roman"/>
          <w:sz w:val="20"/>
          <w:szCs w:val="20"/>
          <w:lang w:val="en-US"/>
        </w:rPr>
        <w:t>6, 24,</w:t>
      </w:r>
      <w:r w:rsidR="00DE4853" w:rsidRPr="00DE4853">
        <w:rPr>
          <w:rFonts w:ascii="Times" w:eastAsia="Times New Roman" w:hAnsi="Times" w:cs="Times New Roman"/>
          <w:sz w:val="20"/>
          <w:szCs w:val="20"/>
          <w:lang w:val="en-US"/>
        </w:rPr>
        <w:t xml:space="preserve"> 96, and 384-well plates. Index sorting can be enabled when sorting single cells. This capability indexes the cell surface phenotype to the well containing that cell.</w:t>
      </w:r>
    </w:p>
    <w:p w14:paraId="2366496B" w14:textId="0EE65C34" w:rsidR="00FA0BA6" w:rsidRPr="00FA0BA6" w:rsidRDefault="00FA0BA6" w:rsidP="00FA0BA6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FA0BA6">
        <w:rPr>
          <w:rFonts w:ascii="Times" w:eastAsia="Times New Roman" w:hAnsi="Times" w:cs="Times New Roman"/>
          <w:b/>
          <w:sz w:val="20"/>
          <w:szCs w:val="20"/>
          <w:lang w:val="en-US"/>
        </w:rPr>
        <w:t xml:space="preserve">Performance </w:t>
      </w:r>
    </w:p>
    <w:p w14:paraId="366C0172" w14:textId="77777777" w:rsidR="00FA0BA6" w:rsidRDefault="00FA0BA6" w:rsidP="00FA0BA6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FA0BA6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Fluorescence Sensitivity</w:t>
      </w:r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1B705D01" w14:textId="3F398E54" w:rsidR="00FA0BA6" w:rsidRDefault="00FA0BA6" w:rsidP="00FA0BA6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Measurements performed at 70 psi and 90 kHz using SPHERO™ Rainbow Calibration Particles (RCP-30-5A).* </w:t>
      </w:r>
      <w:r w:rsidRPr="00FA0BA6">
        <w:rPr>
          <w:rFonts w:ascii="Times" w:eastAsia="Times New Roman" w:hAnsi="Times" w:cs="Times New Roman"/>
          <w:i/>
          <w:sz w:val="16"/>
          <w:szCs w:val="16"/>
          <w:lang w:val="en-US"/>
        </w:rPr>
        <w:t>*MESF, can vary lot-to-lot.</w:t>
      </w:r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4EED37FF" w14:textId="6D37590D" w:rsidR="00FA0BA6" w:rsidRPr="00FA0BA6" w:rsidRDefault="00FA0BA6" w:rsidP="00FA0BA6">
      <w:pPr>
        <w:pStyle w:val="Odstavecseseznamem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  <w:lang w:val="en-US"/>
        </w:rPr>
      </w:pPr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FITC &lt;87 molecules of equivalent soluble </w:t>
      </w:r>
      <w:proofErr w:type="spellStart"/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>fluorochrome</w:t>
      </w:r>
      <w:proofErr w:type="spellEnd"/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 (MESF-FITC)</w:t>
      </w:r>
    </w:p>
    <w:p w14:paraId="6946B732" w14:textId="68458857" w:rsidR="00FA0BA6" w:rsidRPr="00FA0BA6" w:rsidRDefault="00FA0BA6" w:rsidP="00FA0BA6">
      <w:pPr>
        <w:pStyle w:val="Odstavecseseznamem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PE &lt;29 </w:t>
      </w:r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molecules of equivalent soluble </w:t>
      </w:r>
      <w:proofErr w:type="spellStart"/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>fluorochrome</w:t>
      </w:r>
      <w:proofErr w:type="spellEnd"/>
      <w:r w:rsidRP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 (MESF-</w:t>
      </w:r>
      <w:r>
        <w:rPr>
          <w:rFonts w:ascii="Times" w:eastAsia="Times New Roman" w:hAnsi="Times" w:cs="Times New Roman"/>
          <w:sz w:val="20"/>
          <w:szCs w:val="20"/>
          <w:lang w:val="en-US"/>
        </w:rPr>
        <w:t>PE)</w:t>
      </w:r>
    </w:p>
    <w:p w14:paraId="3C9C9F2A" w14:textId="77777777" w:rsidR="00DE4853" w:rsidRDefault="00DE4853" w:rsidP="00BB163F">
      <w:pPr>
        <w:ind w:left="-284"/>
        <w:rPr>
          <w:rFonts w:ascii="Times" w:eastAsia="Times New Roman" w:hAnsi="Times" w:cs="Times New Roman"/>
          <w:b/>
          <w:sz w:val="20"/>
          <w:szCs w:val="20"/>
          <w:lang w:val="en-US"/>
        </w:rPr>
      </w:pPr>
    </w:p>
    <w:p w14:paraId="7B256E01" w14:textId="77777777" w:rsidR="00D42158" w:rsidRPr="00D42158" w:rsidRDefault="00D42158" w:rsidP="00D42158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u w:val="single"/>
          <w:lang w:val="en-US"/>
        </w:rPr>
        <w:lastRenderedPageBreak/>
        <w:t xml:space="preserve">Fluorescence Resolution </w:t>
      </w:r>
    </w:p>
    <w:p w14:paraId="50B93EF3" w14:textId="77777777" w:rsid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>Coefficient of variati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on (CV) </w:t>
      </w:r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4969CE8A" w14:textId="598FD464" w:rsidR="00D42158" w:rsidRDefault="00D42158" w:rsidP="00D42158">
      <w:pPr>
        <w:pStyle w:val="Odstavecseseznamem"/>
        <w:numPr>
          <w:ilvl w:val="0"/>
          <w:numId w:val="4"/>
        </w:numPr>
        <w:rPr>
          <w:rFonts w:ascii="Times" w:eastAsia="Times New Roman" w:hAnsi="Times" w:cs="Times New Roman"/>
          <w:sz w:val="20"/>
          <w:szCs w:val="20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 xml:space="preserve">PI: Area, </w:t>
      </w:r>
      <w:r>
        <w:rPr>
          <w:rFonts w:ascii="Times" w:eastAsia="Times New Roman" w:hAnsi="Times" w:cs="Times New Roman"/>
          <w:sz w:val="20"/>
          <w:szCs w:val="20"/>
          <w:lang w:val="en-US"/>
        </w:rPr>
        <w:t>&lt;3.0%, full G0/G1 peak for PI-stained chicken erythrocyte nuclei (CEN)</w:t>
      </w:r>
    </w:p>
    <w:p w14:paraId="5BA0DD78" w14:textId="7EFE0301" w:rsidR="00D42158" w:rsidRDefault="00D42158" w:rsidP="00D42158">
      <w:pPr>
        <w:pStyle w:val="Odstavecseseznamem"/>
        <w:numPr>
          <w:ilvl w:val="0"/>
          <w:numId w:val="4"/>
        </w:num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Hoechst: Area, &lt;3.5%, full G0/G1 peak for Hoechst-stained chicken erythrocyte nuclei (CEN) </w:t>
      </w:r>
    </w:p>
    <w:p w14:paraId="71C633EF" w14:textId="77777777" w:rsidR="00D42158" w:rsidRP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EE53E6C" w14:textId="77777777" w:rsidR="00D42158" w:rsidRDefault="00D42158" w:rsidP="00D42158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Fluorescence Linearity</w:t>
      </w:r>
    </w:p>
    <w:p w14:paraId="028B2D8F" w14:textId="77777777" w:rsid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 xml:space="preserve">Doublet/singlet ratio CEN stained with PI: 1.95–2.05 (488-nm laser) or Hoechst: 1.95–2.05 (405-nm laser) </w:t>
      </w:r>
    </w:p>
    <w:p w14:paraId="58FFA3BF" w14:textId="77777777" w:rsid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239BB50" w14:textId="77777777" w:rsidR="00D42158" w:rsidRPr="00D42158" w:rsidRDefault="00D42158" w:rsidP="00D42158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Forward and Side Scatter Sensitivity </w:t>
      </w:r>
    </w:p>
    <w:p w14:paraId="5B58B091" w14:textId="06B960DB" w:rsid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>Sensitivity enables separation of fixed platelets from noise, identification of bacteria, and detection of 0.5-µm beads</w:t>
      </w:r>
      <w:r>
        <w:rPr>
          <w:rFonts w:ascii="Times" w:eastAsia="Times New Roman" w:hAnsi="Times" w:cs="Times New Roman"/>
          <w:sz w:val="20"/>
          <w:szCs w:val="20"/>
          <w:lang w:val="en-US"/>
        </w:rPr>
        <w:t>.</w:t>
      </w:r>
    </w:p>
    <w:p w14:paraId="709106A8" w14:textId="77777777" w:rsid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74EA018" w14:textId="77777777" w:rsidR="00D42158" w:rsidRPr="00D42158" w:rsidRDefault="00D42158" w:rsidP="00D42158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Forward and Side Scatter Resolution </w:t>
      </w:r>
    </w:p>
    <w:p w14:paraId="067E534F" w14:textId="5E607A81" w:rsidR="00D42158" w:rsidRPr="00D42158" w:rsidRDefault="00D42158" w:rsidP="00D42158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D42158">
        <w:rPr>
          <w:rFonts w:ascii="Times" w:eastAsia="Times New Roman" w:hAnsi="Times" w:cs="Times New Roman"/>
          <w:sz w:val="20"/>
          <w:szCs w:val="20"/>
          <w:lang w:val="en-US"/>
        </w:rPr>
        <w:t>Scatter performance is optimized for resolving lymphocytes, monocytes, and granulocytes.</w:t>
      </w:r>
    </w:p>
    <w:p w14:paraId="10C574EC" w14:textId="77777777" w:rsidR="00D42158" w:rsidRDefault="00D42158" w:rsidP="00D42158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</w:p>
    <w:p w14:paraId="3D1AFF8F" w14:textId="77777777" w:rsidR="00BB39D4" w:rsidRPr="00BB39D4" w:rsidRDefault="00BB39D4" w:rsidP="00BB39D4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BB39D4">
        <w:rPr>
          <w:rFonts w:ascii="Times" w:eastAsia="Times New Roman" w:hAnsi="Times" w:cs="Times New Roman"/>
          <w:b/>
          <w:sz w:val="20"/>
          <w:szCs w:val="20"/>
          <w:lang w:val="en-US"/>
        </w:rPr>
        <w:t xml:space="preserve">Sort Performance </w:t>
      </w:r>
    </w:p>
    <w:p w14:paraId="34FD4BCF" w14:textId="77777777" w:rsidR="00BB39D4" w:rsidRPr="00BB39D4" w:rsidRDefault="00BB39D4" w:rsidP="00BB39D4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Drop Drive Frequency </w:t>
      </w:r>
    </w:p>
    <w:p w14:paraId="0AD63426" w14:textId="77777777" w:rsidR="00BB39D4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Range: 1–100,000 Hz </w:t>
      </w:r>
    </w:p>
    <w:p w14:paraId="1E06A474" w14:textId="77777777" w:rsidR="00BB39D4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FDFA977" w14:textId="77777777" w:rsidR="00BB39D4" w:rsidRPr="00BB39D4" w:rsidRDefault="00BB39D4" w:rsidP="00BB39D4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Purity and Yield </w:t>
      </w:r>
    </w:p>
    <w:p w14:paraId="22FF8C26" w14:textId="77777777" w:rsidR="00BB39D4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At 70 psi and 87 kHz with an average threshold rate of 25,000 events per second, a four-way sort achieved a purity of &gt;98% and a yield &gt;80% of Poisson’s expected yield. Higher threshold rates up to 70,000 events per second can be achieved without affecting purity. However, yield will decrease based on Poisson’s statistics. </w:t>
      </w:r>
    </w:p>
    <w:p w14:paraId="48AAABF4" w14:textId="77777777" w:rsidR="00BB39D4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6937E77" w14:textId="77777777" w:rsidR="00BB39D4" w:rsidRPr="00BB39D4" w:rsidRDefault="00BB39D4" w:rsidP="00BB39D4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Functionality </w:t>
      </w:r>
    </w:p>
    <w:p w14:paraId="63817F85" w14:textId="77777777" w:rsidR="00BB39D4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Dendritic cells (myeloid and </w:t>
      </w:r>
      <w:proofErr w:type="spellStart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>plasmacytoid</w:t>
      </w:r>
      <w:proofErr w:type="spellEnd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proofErr w:type="spellStart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>mDs</w:t>
      </w:r>
      <w:proofErr w:type="spellEnd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 and </w:t>
      </w:r>
      <w:proofErr w:type="spellStart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>pDCs</w:t>
      </w:r>
      <w:proofErr w:type="spellEnd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, respectively) were isolated from the peripheral blood mononuclear cells of three donors and sorted on the BD </w:t>
      </w:r>
      <w:proofErr w:type="spellStart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>FACSAria</w:t>
      </w:r>
      <w:proofErr w:type="spellEnd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 III system (one sort per donor) which uses the same </w:t>
      </w:r>
      <w:proofErr w:type="spellStart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>cuvettebased</w:t>
      </w:r>
      <w:proofErr w:type="spellEnd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 flow cell design as the BD </w:t>
      </w:r>
      <w:proofErr w:type="spellStart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>FACSAria</w:t>
      </w:r>
      <w:proofErr w:type="spellEnd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 Fusion. Post-sort cell viability was assessed using a live/dead exclusion marker, and functionality was assessed by intracellular cytokine staining after 6 or 18 hours of stimulation with the TLR 7 &amp; 8 agonist R848. Post-sort viability at 6–18 hours was &gt;90% for all three donors. Both </w:t>
      </w:r>
      <w:proofErr w:type="spellStart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>pDCs</w:t>
      </w:r>
      <w:proofErr w:type="spellEnd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 and </w:t>
      </w:r>
      <w:proofErr w:type="spellStart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>mDCs</w:t>
      </w:r>
      <w:proofErr w:type="spellEnd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 for all three donors produced IFN-a, TNF-a, and IL-12 stimulation, demonstrating post-sort functionality. </w:t>
      </w:r>
    </w:p>
    <w:p w14:paraId="51A21D9D" w14:textId="77777777" w:rsidR="00BB39D4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356F88F" w14:textId="77777777" w:rsidR="00BB39D4" w:rsidRPr="003D4308" w:rsidRDefault="00BB39D4" w:rsidP="00BB39D4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3D4308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Sort Collection Devices </w:t>
      </w:r>
    </w:p>
    <w:p w14:paraId="3BC5A052" w14:textId="77777777" w:rsidR="00BB39D4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Two-way sorting: 12 x 75-mm and 15-mL tubes </w:t>
      </w:r>
    </w:p>
    <w:p w14:paraId="618742E5" w14:textId="77777777" w:rsidR="00BB39D4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Four-way sorting: 1.5-mL </w:t>
      </w:r>
      <w:proofErr w:type="spellStart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>microtubes</w:t>
      </w:r>
      <w:proofErr w:type="spellEnd"/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 and 12 x 75-mm tubes </w:t>
      </w:r>
    </w:p>
    <w:p w14:paraId="42691744" w14:textId="77777777" w:rsidR="003D4308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Single cell sort</w:t>
      </w:r>
      <w:r w:rsidR="003D4308">
        <w:rPr>
          <w:rFonts w:ascii="Times" w:eastAsia="Times New Roman" w:hAnsi="Times" w:cs="Times New Roman"/>
          <w:sz w:val="20"/>
          <w:szCs w:val="20"/>
          <w:lang w:val="en-US"/>
        </w:rPr>
        <w:t xml:space="preserve"> into multiwall plates: 6-; 24-; 96-; 384-well plates</w:t>
      </w:r>
    </w:p>
    <w:p w14:paraId="426BCC4E" w14:textId="77777777" w:rsidR="003D4308" w:rsidRDefault="003D4308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6344FDB" w14:textId="77777777" w:rsidR="00366669" w:rsidRPr="00366669" w:rsidRDefault="00366669" w:rsidP="00BB39D4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FACS™ </w:t>
      </w:r>
      <w:proofErr w:type="spellStart"/>
      <w:r w:rsidRP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Accudrop</w:t>
      </w:r>
      <w:proofErr w:type="spellEnd"/>
      <w:r w:rsidRP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 </w:t>
      </w:r>
    </w:p>
    <w:p w14:paraId="3D3F8FD5" w14:textId="77777777" w:rsidR="00366669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>Red diode laser provided for fully autom</w:t>
      </w:r>
      <w:r w:rsidR="00366669">
        <w:rPr>
          <w:rFonts w:ascii="Times" w:eastAsia="Times New Roman" w:hAnsi="Times" w:cs="Times New Roman"/>
          <w:sz w:val="20"/>
          <w:szCs w:val="20"/>
          <w:lang w:val="en-US"/>
        </w:rPr>
        <w:t xml:space="preserve">ated drop-delay determination </w:t>
      </w:r>
    </w:p>
    <w:p w14:paraId="37143760" w14:textId="77777777" w:rsidR="00366669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>Autom</w:t>
      </w:r>
      <w:r w:rsidR="00366669">
        <w:rPr>
          <w:rFonts w:ascii="Times" w:eastAsia="Times New Roman" w:hAnsi="Times" w:cs="Times New Roman"/>
          <w:sz w:val="20"/>
          <w:szCs w:val="20"/>
          <w:lang w:val="en-US"/>
        </w:rPr>
        <w:t xml:space="preserve">ated drop breakoff monitoring </w:t>
      </w:r>
    </w:p>
    <w:p w14:paraId="34804CDE" w14:textId="77777777" w:rsidR="00366669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Automated clog detection and sort tube protection system using Sweet Spot technology </w:t>
      </w:r>
    </w:p>
    <w:p w14:paraId="76ED0D6F" w14:textId="77777777" w:rsidR="00366669" w:rsidRDefault="00366669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F295827" w14:textId="77777777" w:rsidR="00366669" w:rsidRPr="00366669" w:rsidRDefault="00BB39D4" w:rsidP="00BB39D4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366669">
        <w:rPr>
          <w:rFonts w:ascii="Times" w:eastAsia="Times New Roman" w:hAnsi="Times" w:cs="Times New Roman"/>
          <w:b/>
          <w:sz w:val="20"/>
          <w:szCs w:val="20"/>
          <w:lang w:val="en-US"/>
        </w:rPr>
        <w:t xml:space="preserve">Signal Processing </w:t>
      </w:r>
    </w:p>
    <w:p w14:paraId="403E379B" w14:textId="77777777" w:rsidR="00366669" w:rsidRPr="00366669" w:rsidRDefault="00BB39D4" w:rsidP="00BB39D4">
      <w:pPr>
        <w:rPr>
          <w:rFonts w:ascii="Times" w:eastAsia="Times New Roman" w:hAnsi="Times" w:cs="Times New Roman"/>
          <w:sz w:val="20"/>
          <w:szCs w:val="20"/>
          <w:u w:val="single"/>
          <w:lang w:val="en-US"/>
        </w:rPr>
      </w:pPr>
      <w:r w:rsidRP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 xml:space="preserve">Converter </w:t>
      </w:r>
    </w:p>
    <w:p w14:paraId="3BE7677A" w14:textId="77777777" w:rsidR="00366669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10-MHz analog-to-digital converter. Pulse sampling is precisely matched to the particle flow rate in the cuvette. Particles travel slower compared to conventional stream-in-air sorters. This increases the light collected, resulting in better sensitivity. High-speed sorting is achieved by accelerating the stream through the nozzle, achieving drop rates comparable to stream-in-air sorters. The flow cell design and electronics are matched to maximize signal while maintaining maximum sort speed, purity, and yield. </w:t>
      </w:r>
    </w:p>
    <w:p w14:paraId="4A718EDD" w14:textId="77777777" w:rsidR="00366669" w:rsidRDefault="00366669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1828D87" w14:textId="77777777" w:rsidR="00366669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Workstation Resolution</w:t>
      </w: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 262,144 channels </w:t>
      </w:r>
    </w:p>
    <w:p w14:paraId="1FF074E1" w14:textId="77777777" w:rsidR="00366669" w:rsidRDefault="00366669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B98A6BB" w14:textId="77777777" w:rsidR="00366669" w:rsidRDefault="00BB39D4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Pulse Processing</w:t>
      </w:r>
      <w:r w:rsid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:</w:t>
      </w:r>
      <w:r w:rsidR="00366669">
        <w:rPr>
          <w:rFonts w:ascii="Times" w:eastAsia="Times New Roman" w:hAnsi="Times" w:cs="Times New Roman"/>
          <w:sz w:val="20"/>
          <w:szCs w:val="20"/>
          <w:lang w:val="en-US"/>
        </w:rPr>
        <w:t xml:space="preserve"> h</w:t>
      </w:r>
      <w:r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eight, area, and width measurements available for any parameter. Ratio measurements are also available. </w:t>
      </w:r>
    </w:p>
    <w:p w14:paraId="42D92C6E" w14:textId="77777777" w:rsidR="00366669" w:rsidRDefault="00366669" w:rsidP="00BB39D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EC3A988" w14:textId="208A5313" w:rsidR="00006D9E" w:rsidRDefault="00366669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366669">
        <w:rPr>
          <w:rFonts w:ascii="Times" w:eastAsia="Times New Roman" w:hAnsi="Times" w:cs="Times New Roman"/>
          <w:sz w:val="20"/>
          <w:szCs w:val="20"/>
          <w:u w:val="single"/>
          <w:lang w:val="en-US"/>
        </w:rPr>
        <w:t>Time</w:t>
      </w:r>
      <w:r w:rsidR="00BB39D4" w:rsidRPr="00BB39D4">
        <w:rPr>
          <w:rFonts w:ascii="Times" w:eastAsia="Times New Roman" w:hAnsi="Times" w:cs="Times New Roman"/>
          <w:sz w:val="20"/>
          <w:szCs w:val="20"/>
          <w:lang w:val="en-US"/>
        </w:rPr>
        <w:t xml:space="preserve"> can be correlated to any parameter for kinetic experiments or other applications. </w:t>
      </w:r>
    </w:p>
    <w:p w14:paraId="75A1D4F1" w14:textId="77777777" w:rsidR="00366669" w:rsidRDefault="00366669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A1E4655" w14:textId="77777777" w:rsidR="00FA0BA6" w:rsidRDefault="00FA0BA6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DFD9517" w14:textId="27994A2F" w:rsidR="00FA0BA6" w:rsidRDefault="00366669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Link to </w:t>
      </w:r>
      <w:r w:rsidR="00DD68E3">
        <w:rPr>
          <w:rFonts w:ascii="Times" w:eastAsia="Times New Roman" w:hAnsi="Times" w:cs="Times New Roman"/>
          <w:sz w:val="20"/>
          <w:szCs w:val="20"/>
          <w:lang w:val="en-US"/>
        </w:rPr>
        <w:t xml:space="preserve">the </w:t>
      </w:r>
      <w:r>
        <w:rPr>
          <w:rFonts w:ascii="Times" w:eastAsia="Times New Roman" w:hAnsi="Times" w:cs="Times New Roman"/>
          <w:sz w:val="20"/>
          <w:szCs w:val="20"/>
          <w:lang w:val="en-US"/>
        </w:rPr>
        <w:t>manufacturer</w:t>
      </w:r>
      <w:r w:rsidR="00006D9E" w:rsidRPr="00006D9E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hyperlink r:id="rId7" w:history="1">
        <w:r>
          <w:rPr>
            <w:rStyle w:val="Hypertextovodkaz"/>
            <w:rFonts w:ascii="Times" w:eastAsia="Times New Roman" w:hAnsi="Times" w:cs="Times New Roman"/>
            <w:sz w:val="20"/>
            <w:szCs w:val="20"/>
            <w:lang w:val="en-US"/>
          </w:rPr>
          <w:t>BD Biosciences</w:t>
        </w:r>
      </w:hyperlink>
      <w:r w:rsidR="00006D9E" w:rsidRPr="00006D9E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</w:p>
    <w:p w14:paraId="667CED1D" w14:textId="77777777" w:rsidR="00FA0BA6" w:rsidRDefault="00FA0BA6" w:rsidP="00006D9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C5D5CF4" w14:textId="55FB03C8" w:rsidR="002A573D" w:rsidRDefault="00006D9E">
      <w:r w:rsidRPr="00006D9E">
        <w:rPr>
          <w:rFonts w:ascii="Times" w:eastAsia="Times New Roman" w:hAnsi="Times" w:cs="Times New Roman"/>
          <w:sz w:val="20"/>
          <w:szCs w:val="20"/>
          <w:lang w:val="en-US"/>
        </w:rPr>
        <w:t xml:space="preserve">Recommended </w:t>
      </w:r>
      <w:r w:rsidR="00366669">
        <w:rPr>
          <w:rFonts w:ascii="Times" w:eastAsia="Times New Roman" w:hAnsi="Times" w:cs="Times New Roman"/>
          <w:sz w:val="20"/>
          <w:szCs w:val="20"/>
          <w:lang w:val="en-US"/>
        </w:rPr>
        <w:t xml:space="preserve">tool for </w:t>
      </w:r>
      <w:proofErr w:type="spellStart"/>
      <w:r w:rsidR="00366669">
        <w:rPr>
          <w:rFonts w:ascii="Times" w:eastAsia="Times New Roman" w:hAnsi="Times" w:cs="Times New Roman"/>
          <w:sz w:val="20"/>
          <w:szCs w:val="20"/>
          <w:lang w:val="en-US"/>
        </w:rPr>
        <w:t>multicolour</w:t>
      </w:r>
      <w:proofErr w:type="spellEnd"/>
      <w:r w:rsidR="00366669">
        <w:rPr>
          <w:rFonts w:ascii="Times" w:eastAsia="Times New Roman" w:hAnsi="Times" w:cs="Times New Roman"/>
          <w:sz w:val="20"/>
          <w:szCs w:val="20"/>
          <w:lang w:val="en-US"/>
        </w:rPr>
        <w:t xml:space="preserve"> experiment design</w:t>
      </w:r>
      <w:r w:rsidR="00FA0BA6">
        <w:rPr>
          <w:rFonts w:ascii="Times" w:eastAsia="Times New Roman" w:hAnsi="Times" w:cs="Times New Roman"/>
          <w:sz w:val="20"/>
          <w:szCs w:val="20"/>
          <w:lang w:val="en-US"/>
        </w:rPr>
        <w:t xml:space="preserve">: </w:t>
      </w:r>
      <w:hyperlink r:id="rId8" w:history="1">
        <w:proofErr w:type="spellStart"/>
        <w:r w:rsidR="00366669" w:rsidRPr="00366669">
          <w:rPr>
            <w:rStyle w:val="Hypertextovodkaz"/>
            <w:rFonts w:ascii="Times" w:eastAsia="Times New Roman" w:hAnsi="Times" w:cs="Times New Roman"/>
            <w:sz w:val="20"/>
            <w:szCs w:val="20"/>
            <w:lang w:val="en-US"/>
          </w:rPr>
          <w:t>SpectrumViewer</w:t>
        </w:r>
        <w:proofErr w:type="spellEnd"/>
      </w:hyperlink>
    </w:p>
    <w:sectPr w:rsidR="002A573D" w:rsidSect="002A57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277"/>
    <w:multiLevelType w:val="hybridMultilevel"/>
    <w:tmpl w:val="CC5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8189B"/>
    <w:multiLevelType w:val="hybridMultilevel"/>
    <w:tmpl w:val="3020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33E3"/>
    <w:multiLevelType w:val="hybridMultilevel"/>
    <w:tmpl w:val="94DC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E60D5"/>
    <w:multiLevelType w:val="hybridMultilevel"/>
    <w:tmpl w:val="FEBE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9E"/>
    <w:rsid w:val="00006D9E"/>
    <w:rsid w:val="00034563"/>
    <w:rsid w:val="000A4AB2"/>
    <w:rsid w:val="00117138"/>
    <w:rsid w:val="001616AA"/>
    <w:rsid w:val="0016408A"/>
    <w:rsid w:val="001D539E"/>
    <w:rsid w:val="002A573D"/>
    <w:rsid w:val="002C5F70"/>
    <w:rsid w:val="00366669"/>
    <w:rsid w:val="00376B9B"/>
    <w:rsid w:val="00381465"/>
    <w:rsid w:val="003D4308"/>
    <w:rsid w:val="00425946"/>
    <w:rsid w:val="00491B0C"/>
    <w:rsid w:val="004B0405"/>
    <w:rsid w:val="005656DE"/>
    <w:rsid w:val="005946BA"/>
    <w:rsid w:val="005B4B61"/>
    <w:rsid w:val="005C5F52"/>
    <w:rsid w:val="005D1ADC"/>
    <w:rsid w:val="00641F11"/>
    <w:rsid w:val="008B23A7"/>
    <w:rsid w:val="008C5FFA"/>
    <w:rsid w:val="008D038D"/>
    <w:rsid w:val="00A05F08"/>
    <w:rsid w:val="00BB163F"/>
    <w:rsid w:val="00BB39D4"/>
    <w:rsid w:val="00BD4F71"/>
    <w:rsid w:val="00D377A2"/>
    <w:rsid w:val="00D42158"/>
    <w:rsid w:val="00DD68E3"/>
    <w:rsid w:val="00DE4853"/>
    <w:rsid w:val="00E868F3"/>
    <w:rsid w:val="00EC7D35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79ECA"/>
  <w14:defaultImageDpi w14:val="300"/>
  <w15:docId w15:val="{728E2CE4-C237-4CC9-815E-B0A676CF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4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D9E"/>
    <w:rPr>
      <w:rFonts w:ascii="Lucida Grande CY" w:hAnsi="Lucida Grande CY" w:cs="Lucida Grande CY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D9E"/>
    <w:rPr>
      <w:rFonts w:ascii="Lucida Grande CY" w:hAnsi="Lucida Grande CY" w:cs="Lucida Grande CY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4F7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40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A0BA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6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biosciences.com/us/s/spectrum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biosciences.com/us/instruments/research/cell-sorters/bd-facsariafusion/m/1526412/fea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Kislik</dc:creator>
  <cp:keywords/>
  <dc:description/>
  <cp:lastModifiedBy>user</cp:lastModifiedBy>
  <cp:revision>4</cp:revision>
  <dcterms:created xsi:type="dcterms:W3CDTF">2018-04-15T17:15:00Z</dcterms:created>
  <dcterms:modified xsi:type="dcterms:W3CDTF">2018-06-11T13:18:00Z</dcterms:modified>
</cp:coreProperties>
</file>